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51" w:rsidRDefault="009B34F3" w:rsidP="009B34F3">
      <w:pPr>
        <w:jc w:val="center"/>
        <w:rPr>
          <w:rFonts w:ascii="Forte" w:hAnsi="Forte"/>
          <w:b/>
          <w:sz w:val="56"/>
          <w:szCs w:val="56"/>
        </w:rPr>
      </w:pPr>
      <w:r w:rsidRPr="009B34F3">
        <w:rPr>
          <w:rFonts w:ascii="Rockwell Extra Bold" w:hAnsi="Rockwell Extra Bold"/>
          <w:b/>
          <w:sz w:val="56"/>
          <w:szCs w:val="56"/>
        </w:rPr>
        <w:t>- PIB</w:t>
      </w:r>
      <w:r w:rsidR="004E67E8">
        <w:rPr>
          <w:rFonts w:ascii="Rockwell Extra Bold" w:hAnsi="Rockwell Extra Bold"/>
          <w:b/>
          <w:sz w:val="56"/>
          <w:szCs w:val="56"/>
        </w:rPr>
        <w:t xml:space="preserve"> in Limburg</w:t>
      </w:r>
      <w:r w:rsidRPr="009B34F3">
        <w:rPr>
          <w:rFonts w:ascii="Forte" w:hAnsi="Forte"/>
          <w:b/>
          <w:sz w:val="56"/>
          <w:szCs w:val="56"/>
        </w:rPr>
        <w:t xml:space="preserve"> </w:t>
      </w:r>
      <w:r w:rsidR="00C651A1" w:rsidRPr="009B34F3">
        <w:rPr>
          <w:rFonts w:ascii="Rockwell Extra Bold" w:hAnsi="Rockwell Extra Bold"/>
          <w:b/>
          <w:sz w:val="56"/>
          <w:szCs w:val="56"/>
        </w:rPr>
        <w:t>-</w:t>
      </w:r>
    </w:p>
    <w:p w:rsidR="007714A3" w:rsidRDefault="00C53651" w:rsidP="00C53651">
      <w:pPr>
        <w:rPr>
          <w:rFonts w:ascii="Rockwell Extra Bold" w:hAnsi="Rockwell Extra Bold"/>
          <w:b/>
          <w:sz w:val="56"/>
          <w:szCs w:val="56"/>
        </w:rPr>
      </w:pPr>
      <w:r>
        <w:rPr>
          <w:rFonts w:ascii="Forte" w:hAnsi="Forte"/>
          <w:b/>
          <w:sz w:val="44"/>
          <w:szCs w:val="44"/>
        </w:rPr>
        <w:t xml:space="preserve">       </w:t>
      </w:r>
      <w:r w:rsidR="009B34F3" w:rsidRPr="009B34F3">
        <w:rPr>
          <w:rFonts w:ascii="Forte" w:hAnsi="Forte"/>
          <w:b/>
          <w:sz w:val="44"/>
          <w:szCs w:val="44"/>
        </w:rPr>
        <w:t xml:space="preserve">Senioren </w:t>
      </w:r>
      <w:r>
        <w:rPr>
          <w:rFonts w:ascii="Forte" w:hAnsi="Forte"/>
          <w:b/>
          <w:sz w:val="44"/>
          <w:szCs w:val="44"/>
        </w:rPr>
        <w:tab/>
      </w:r>
      <w:r>
        <w:rPr>
          <w:rFonts w:ascii="Forte" w:hAnsi="Forte"/>
          <w:b/>
          <w:sz w:val="44"/>
          <w:szCs w:val="44"/>
        </w:rPr>
        <w:tab/>
      </w:r>
      <w:r>
        <w:rPr>
          <w:rFonts w:ascii="Forte" w:hAnsi="Forte"/>
          <w:b/>
          <w:sz w:val="44"/>
          <w:szCs w:val="44"/>
        </w:rPr>
        <w:tab/>
      </w:r>
      <w:r>
        <w:rPr>
          <w:rFonts w:ascii="Forte" w:hAnsi="Forte"/>
          <w:b/>
          <w:sz w:val="44"/>
          <w:szCs w:val="44"/>
        </w:rPr>
        <w:tab/>
      </w:r>
      <w:r w:rsidR="00C651A1">
        <w:rPr>
          <w:rFonts w:ascii="Forte" w:hAnsi="Forte"/>
          <w:b/>
          <w:sz w:val="44"/>
          <w:szCs w:val="44"/>
        </w:rPr>
        <w:t xml:space="preserve">     </w:t>
      </w:r>
      <w:r w:rsidR="009B34F3" w:rsidRPr="009B34F3">
        <w:rPr>
          <w:rFonts w:ascii="Forte" w:hAnsi="Forte"/>
          <w:b/>
          <w:sz w:val="44"/>
          <w:szCs w:val="44"/>
        </w:rPr>
        <w:t xml:space="preserve"> </w:t>
      </w:r>
      <w:r w:rsidR="006D1546">
        <w:rPr>
          <w:rFonts w:ascii="Forte" w:hAnsi="Forte"/>
          <w:b/>
          <w:sz w:val="44"/>
          <w:szCs w:val="44"/>
        </w:rPr>
        <w:t xml:space="preserve">    </w:t>
      </w:r>
      <w:r w:rsidR="009B34F3" w:rsidRPr="009B34F3">
        <w:rPr>
          <w:rFonts w:ascii="Forte" w:hAnsi="Forte"/>
          <w:b/>
          <w:sz w:val="44"/>
          <w:szCs w:val="44"/>
        </w:rPr>
        <w:t xml:space="preserve">Veteranen </w:t>
      </w:r>
    </w:p>
    <w:p w:rsidR="002C7699" w:rsidRDefault="007714A3" w:rsidP="007714A3">
      <w:pPr>
        <w:rPr>
          <w:rFonts w:ascii="Forte" w:hAnsi="Forte"/>
          <w:b/>
          <w:sz w:val="44"/>
          <w:szCs w:val="44"/>
        </w:rPr>
      </w:pPr>
      <w:r>
        <w:rPr>
          <w:rFonts w:ascii="Rockwell Extra Bold" w:hAnsi="Rockwell Extra Bold"/>
          <w:b/>
          <w:noProof/>
          <w:sz w:val="56"/>
          <w:szCs w:val="56"/>
          <w:lang w:eastAsia="nl-BE"/>
        </w:rPr>
        <w:drawing>
          <wp:inline distT="0" distB="0" distL="0" distR="0" wp14:anchorId="1BCDCD72" wp14:editId="414F4EA1">
            <wp:extent cx="933450" cy="1364544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hIaAFS-Emwh_daI9U_rwe7r9E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44" cy="140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ckwell Extra Bold" w:hAnsi="Rockwell Extra Bold"/>
          <w:b/>
          <w:noProof/>
          <w:sz w:val="56"/>
          <w:szCs w:val="56"/>
          <w:lang w:eastAsia="nl-BE"/>
        </w:rPr>
        <w:drawing>
          <wp:inline distT="0" distB="0" distL="0" distR="0" wp14:anchorId="1A884384" wp14:editId="7892EE4D">
            <wp:extent cx="971550" cy="141846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rt-graphics-petanque-894136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96" cy="144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651">
        <w:rPr>
          <w:rFonts w:ascii="Forte" w:hAnsi="Forte"/>
          <w:b/>
          <w:sz w:val="44"/>
          <w:szCs w:val="44"/>
        </w:rPr>
        <w:t xml:space="preserve">       </w:t>
      </w:r>
      <w:r w:rsidR="006D1546">
        <w:rPr>
          <w:rFonts w:ascii="Forte" w:hAnsi="Forte"/>
          <w:b/>
          <w:sz w:val="44"/>
          <w:szCs w:val="44"/>
        </w:rPr>
        <w:t xml:space="preserve">         </w:t>
      </w:r>
      <w:r w:rsidR="00C53651">
        <w:rPr>
          <w:rFonts w:ascii="Forte" w:hAnsi="Forte"/>
          <w:b/>
          <w:sz w:val="44"/>
          <w:szCs w:val="44"/>
        </w:rPr>
        <w:t xml:space="preserve">   </w:t>
      </w:r>
      <w:r w:rsidR="00C651A1">
        <w:rPr>
          <w:rFonts w:ascii="Rockwell Extra Bold" w:hAnsi="Rockwell Extra Bold"/>
          <w:b/>
          <w:noProof/>
          <w:sz w:val="56"/>
          <w:szCs w:val="56"/>
          <w:lang w:eastAsia="nl-BE"/>
        </w:rPr>
        <w:drawing>
          <wp:inline distT="0" distB="0" distL="0" distR="0" wp14:anchorId="2B8ACB19" wp14:editId="069E517B">
            <wp:extent cx="2028825" cy="164277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udeboules11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07" cy="16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66D" w:rsidRDefault="005A166D" w:rsidP="007714A3">
      <w:pPr>
        <w:rPr>
          <w:b/>
        </w:rPr>
      </w:pPr>
    </w:p>
    <w:p w:rsidR="00B90005" w:rsidRDefault="005A166D" w:rsidP="0098169E">
      <w:pPr>
        <w:pStyle w:val="Geenafstand"/>
        <w:ind w:right="-144"/>
      </w:pPr>
      <w:r w:rsidRPr="005A166D">
        <w:t>De wintercompetitie</w:t>
      </w:r>
      <w:r>
        <w:t xml:space="preserve"> en de wintertornooien 2015 – 2016 behoren alweer tot het </w:t>
      </w:r>
      <w:proofErr w:type="spellStart"/>
      <w:r>
        <w:t>verleden</w:t>
      </w:r>
      <w:r w:rsidR="002353A5">
        <w:t>,door</w:t>
      </w:r>
      <w:proofErr w:type="spellEnd"/>
      <w:r w:rsidR="002353A5">
        <w:t xml:space="preserve"> de zachte winter kon de competitie op de geplande data doorgaan en moesten de inhaaldagen niet gebruikt worden. </w:t>
      </w:r>
      <w:r>
        <w:t xml:space="preserve">Het zomerseizoen 2016 is aansluitend reeds gestart </w:t>
      </w:r>
      <w:proofErr w:type="spellStart"/>
      <w:r>
        <w:t>met,op</w:t>
      </w:r>
      <w:proofErr w:type="spellEnd"/>
      <w:r>
        <w:t xml:space="preserve"> de eerste plaats de PIB voor senioren</w:t>
      </w:r>
      <w:r w:rsidR="00B34AC0">
        <w:t xml:space="preserve"> op 24 april 2016</w:t>
      </w:r>
      <w:r>
        <w:t>,onmiddellijk gevolgd door de PIB voor veteranen</w:t>
      </w:r>
      <w:r w:rsidR="00B34AC0">
        <w:t xml:space="preserve"> op 4 mei 2016</w:t>
      </w:r>
      <w:r>
        <w:t>.In Limburg mocht PC</w:t>
      </w:r>
      <w:r w:rsidR="00B34AC0">
        <w:t xml:space="preserve"> De Berk </w:t>
      </w:r>
      <w:r>
        <w:t xml:space="preserve">de spits afbijten met de inrichting van de PIB voor </w:t>
      </w:r>
      <w:proofErr w:type="spellStart"/>
      <w:r>
        <w:t>senioren</w:t>
      </w:r>
      <w:r w:rsidR="00B34AC0">
        <w:t>,PC</w:t>
      </w:r>
      <w:proofErr w:type="spellEnd"/>
      <w:r w:rsidR="00B34AC0">
        <w:t xml:space="preserve"> Genk mocht hun buitenpleinen klaar maken voor de veteranen PIB </w:t>
      </w:r>
      <w:r>
        <w:t>.De wisseling van de binnenpleinen naar de buitenpleinen</w:t>
      </w:r>
      <w:r w:rsidR="00CC0909">
        <w:t xml:space="preserve"> bracht toch</w:t>
      </w:r>
      <w:r w:rsidR="00B34AC0">
        <w:t xml:space="preserve"> wel</w:t>
      </w:r>
      <w:r w:rsidR="00CC0909">
        <w:t xml:space="preserve"> enige aanpassing </w:t>
      </w:r>
      <w:proofErr w:type="spellStart"/>
      <w:r w:rsidR="00CC0909">
        <w:t>teweeg</w:t>
      </w:r>
      <w:r w:rsidR="00B34AC0">
        <w:t>,maar</w:t>
      </w:r>
      <w:proofErr w:type="spellEnd"/>
      <w:r w:rsidR="00B34AC0">
        <w:t xml:space="preserve"> na wat oef</w:t>
      </w:r>
      <w:r w:rsidR="002353A5">
        <w:t>e</w:t>
      </w:r>
      <w:r w:rsidR="00B34AC0">
        <w:t xml:space="preserve">ning was dit euvel al gauw </w:t>
      </w:r>
      <w:proofErr w:type="spellStart"/>
      <w:r w:rsidR="00B34AC0">
        <w:t>opgelost</w:t>
      </w:r>
      <w:r w:rsidR="00CC0909">
        <w:t>.</w:t>
      </w:r>
      <w:r w:rsidR="00B34AC0">
        <w:t>PFV</w:t>
      </w:r>
      <w:proofErr w:type="spellEnd"/>
      <w:r w:rsidR="00B34AC0">
        <w:t xml:space="preserve"> Limburg had op voorhand de nodige formulieren en wedstrijdkaar</w:t>
      </w:r>
      <w:r w:rsidR="00AC0D28">
        <w:t>tj</w:t>
      </w:r>
      <w:r w:rsidR="00B34AC0">
        <w:t xml:space="preserve">es klaar gemaakt zodat er na de </w:t>
      </w:r>
      <w:r w:rsidR="00585593">
        <w:t>aanwezigheidsmeldi</w:t>
      </w:r>
      <w:r w:rsidR="0029415E">
        <w:t>n</w:t>
      </w:r>
      <w:r w:rsidR="00585593">
        <w:t>g</w:t>
      </w:r>
      <w:r w:rsidR="00B34AC0">
        <w:t xml:space="preserve"> van de </w:t>
      </w:r>
      <w:r w:rsidR="002353A5">
        <w:t>ingeschreven</w:t>
      </w:r>
      <w:r w:rsidR="00B34AC0">
        <w:t xml:space="preserve"> clubs</w:t>
      </w:r>
      <w:r w:rsidR="002353A5">
        <w:t xml:space="preserve"> </w:t>
      </w:r>
      <w:r w:rsidR="00B34AC0">
        <w:t>op het geplande uur</w:t>
      </w:r>
      <w:r w:rsidR="002353A5">
        <w:t xml:space="preserve"> kon gestart </w:t>
      </w:r>
      <w:proofErr w:type="spellStart"/>
      <w:r w:rsidR="002353A5">
        <w:t>worden.</w:t>
      </w:r>
      <w:r w:rsidR="00890482">
        <w:t>Hoeveel</w:t>
      </w:r>
      <w:proofErr w:type="spellEnd"/>
      <w:r w:rsidR="00890482">
        <w:t xml:space="preserve"> clubs in aanmerking kwamen voor deelname aan de VIB zowel voo</w:t>
      </w:r>
      <w:r w:rsidR="00F23341">
        <w:t>r</w:t>
      </w:r>
      <w:r w:rsidR="00890482">
        <w:t xml:space="preserve"> de senioren als voor de veteranen werd bepaald door het  quotum opgelegd door PFV. Voor de VIB senioren mo</w:t>
      </w:r>
      <w:r w:rsidR="00A80F77">
        <w:t>gen er</w:t>
      </w:r>
      <w:r w:rsidR="00890482">
        <w:t xml:space="preserve">  </w:t>
      </w:r>
      <w:r w:rsidR="00184821">
        <w:t>4 Heren/Gemengd en 2 Dames</w:t>
      </w:r>
      <w:r w:rsidR="00890482">
        <w:t xml:space="preserve"> </w:t>
      </w:r>
      <w:r w:rsidR="00184821">
        <w:t>ploegen</w:t>
      </w:r>
      <w:r w:rsidR="00890482">
        <w:t xml:space="preserve"> deelnemen</w:t>
      </w:r>
      <w:r w:rsidR="00F23341">
        <w:t xml:space="preserve"> </w:t>
      </w:r>
      <w:r w:rsidR="00E336E4">
        <w:t>aan</w:t>
      </w:r>
      <w:r w:rsidR="00F23341">
        <w:t xml:space="preserve"> de VIB senioren en voor  de VIB veteranen k</w:t>
      </w:r>
      <w:r w:rsidR="00A80F77">
        <w:t>omen</w:t>
      </w:r>
      <w:r w:rsidR="00F23341">
        <w:t xml:space="preserve"> er  </w:t>
      </w:r>
      <w:r w:rsidR="00184821">
        <w:t>4 Heren/Gemengd en 2 Dames Limburgse ploegen</w:t>
      </w:r>
      <w:r w:rsidR="00F23341">
        <w:t xml:space="preserve"> in aanmerki</w:t>
      </w:r>
      <w:r w:rsidR="00384727">
        <w:t>n</w:t>
      </w:r>
      <w:r w:rsidR="00F23341">
        <w:t>g</w:t>
      </w:r>
      <w:r w:rsidR="00890482">
        <w:t xml:space="preserve">. </w:t>
      </w:r>
      <w:r w:rsidR="00A80F77">
        <w:t>Volge</w:t>
      </w:r>
      <w:r w:rsidR="00890482">
        <w:t>ns  de uitslag van de Limburgse PIB voor senioren mo</w:t>
      </w:r>
      <w:r w:rsidR="0098169E">
        <w:t>gen</w:t>
      </w:r>
      <w:r w:rsidR="00890482">
        <w:t xml:space="preserve"> PC </w:t>
      </w:r>
      <w:proofErr w:type="spellStart"/>
      <w:r w:rsidR="0098169E">
        <w:t>Boekt</w:t>
      </w:r>
      <w:r w:rsidR="00890482">
        <w:t>,PC</w:t>
      </w:r>
      <w:proofErr w:type="spellEnd"/>
      <w:r w:rsidR="0098169E">
        <w:t xml:space="preserve"> St </w:t>
      </w:r>
      <w:proofErr w:type="spellStart"/>
      <w:r w:rsidR="0098169E">
        <w:t>Truiden</w:t>
      </w:r>
      <w:r w:rsidR="00890482">
        <w:t>,PC</w:t>
      </w:r>
      <w:proofErr w:type="spellEnd"/>
      <w:r w:rsidR="0098169E">
        <w:t xml:space="preserve"> Olympia en PC </w:t>
      </w:r>
      <w:proofErr w:type="spellStart"/>
      <w:r w:rsidR="0098169E">
        <w:t>Zig</w:t>
      </w:r>
      <w:proofErr w:type="spellEnd"/>
      <w:r w:rsidR="0098169E">
        <w:t xml:space="preserve"> Zag</w:t>
      </w:r>
      <w:r w:rsidR="00184821">
        <w:t xml:space="preserve"> bij de Heren/Geme</w:t>
      </w:r>
      <w:r w:rsidR="00F5740D">
        <w:t>n</w:t>
      </w:r>
      <w:r w:rsidR="00184821">
        <w:t xml:space="preserve">gd en PC </w:t>
      </w:r>
      <w:r w:rsidR="0098169E">
        <w:t>Boekt en PC Genenbos</w:t>
      </w:r>
      <w:r w:rsidR="00881773">
        <w:t xml:space="preserve"> bij de Dames</w:t>
      </w:r>
      <w:r w:rsidR="00890482">
        <w:t xml:space="preserve"> zich opmaken voor de VIB</w:t>
      </w:r>
      <w:r w:rsidR="00F23341">
        <w:t xml:space="preserve"> in het najaar</w:t>
      </w:r>
      <w:r w:rsidR="00890482">
        <w:t xml:space="preserve"> in PC </w:t>
      </w:r>
      <w:proofErr w:type="spellStart"/>
      <w:r w:rsidR="00890482">
        <w:t>Oostende</w:t>
      </w:r>
      <w:r w:rsidR="00F23341">
        <w:t>.Volgende</w:t>
      </w:r>
      <w:proofErr w:type="spellEnd"/>
      <w:r w:rsidR="00F23341">
        <w:t xml:space="preserve"> clubs uit de Limburgse PIB voor veteranen plaatste zich voor de VIB veteranen in PC </w:t>
      </w:r>
      <w:proofErr w:type="spellStart"/>
      <w:r w:rsidR="00F23341">
        <w:t>Markdal</w:t>
      </w:r>
      <w:proofErr w:type="spellEnd"/>
      <w:r w:rsidR="00881773">
        <w:t xml:space="preserve"> PC</w:t>
      </w:r>
      <w:r w:rsidR="00B90005">
        <w:t xml:space="preserve"> </w:t>
      </w:r>
      <w:proofErr w:type="spellStart"/>
      <w:r w:rsidR="00B90005">
        <w:t>Genenbos,PC</w:t>
      </w:r>
      <w:proofErr w:type="spellEnd"/>
      <w:r w:rsidR="00B90005">
        <w:t xml:space="preserve"> St </w:t>
      </w:r>
      <w:proofErr w:type="spellStart"/>
      <w:r w:rsidR="00B90005">
        <w:t>Truiden,</w:t>
      </w:r>
      <w:r w:rsidR="00881773">
        <w:t>P</w:t>
      </w:r>
      <w:r w:rsidR="00E336E4">
        <w:t>C</w:t>
      </w:r>
      <w:r w:rsidR="00B90005">
        <w:t>Olympia</w:t>
      </w:r>
      <w:proofErr w:type="spellEnd"/>
      <w:r w:rsidR="00B90005">
        <w:t xml:space="preserve"> en </w:t>
      </w:r>
      <w:r w:rsidR="00E336E4">
        <w:t>PC</w:t>
      </w:r>
      <w:r w:rsidR="00B90005">
        <w:t xml:space="preserve"> </w:t>
      </w:r>
      <w:proofErr w:type="spellStart"/>
      <w:r w:rsidR="00B90005">
        <w:t>Zig</w:t>
      </w:r>
      <w:proofErr w:type="spellEnd"/>
      <w:r w:rsidR="00B90005">
        <w:t xml:space="preserve"> Zag</w:t>
      </w:r>
      <w:r w:rsidR="00881773">
        <w:t xml:space="preserve"> bij de Heren/Gemengd en PC</w:t>
      </w:r>
      <w:r w:rsidR="00B90005">
        <w:t xml:space="preserve"> Pelt en </w:t>
      </w:r>
    </w:p>
    <w:p w:rsidR="0098169E" w:rsidRDefault="00B90005" w:rsidP="0098169E">
      <w:pPr>
        <w:pStyle w:val="Geenafstand"/>
        <w:ind w:right="-144"/>
      </w:pPr>
      <w:r>
        <w:t>PC Genenbos</w:t>
      </w:r>
      <w:r w:rsidR="00881773">
        <w:t xml:space="preserve"> </w:t>
      </w:r>
      <w:r w:rsidR="00E336E4">
        <w:t>bij de Dames</w:t>
      </w:r>
      <w:r w:rsidR="00881773">
        <w:t>.</w:t>
      </w:r>
    </w:p>
    <w:p w:rsidR="00585593" w:rsidRDefault="0044520C" w:rsidP="0098169E">
      <w:pPr>
        <w:pStyle w:val="Geenafstand"/>
        <w:ind w:right="-144"/>
      </w:pPr>
      <w:r>
        <w:t>Er zal</w:t>
      </w:r>
      <w:r w:rsidR="00B90005">
        <w:t xml:space="preserve"> zowel</w:t>
      </w:r>
      <w:r w:rsidR="00881773">
        <w:t xml:space="preserve"> in </w:t>
      </w:r>
      <w:r w:rsidR="00E336E4">
        <w:t>d</w:t>
      </w:r>
      <w:r w:rsidR="00881773">
        <w:t xml:space="preserve">e VIB voor senioren als bij de VIB voor veteranen hoogstaand </w:t>
      </w:r>
      <w:proofErr w:type="spellStart"/>
      <w:r w:rsidR="00881773">
        <w:t>petanque</w:t>
      </w:r>
      <w:proofErr w:type="spellEnd"/>
      <w:r w:rsidR="00881773">
        <w:t xml:space="preserve"> gespeeld</w:t>
      </w:r>
      <w:r w:rsidR="0098169E">
        <w:t xml:space="preserve"> moeten </w:t>
      </w:r>
      <w:proofErr w:type="spellStart"/>
      <w:r w:rsidR="0098169E">
        <w:t>worden.</w:t>
      </w:r>
      <w:r>
        <w:t>C</w:t>
      </w:r>
      <w:r w:rsidR="00881773">
        <w:t>oncentratie,taktiek</w:t>
      </w:r>
      <w:proofErr w:type="spellEnd"/>
      <w:r w:rsidR="00881773">
        <w:t xml:space="preserve"> en</w:t>
      </w:r>
      <w:r w:rsidR="00585593">
        <w:t xml:space="preserve"> </w:t>
      </w:r>
      <w:r w:rsidR="00881773">
        <w:t xml:space="preserve">overleg </w:t>
      </w:r>
      <w:r>
        <w:t>zullen</w:t>
      </w:r>
      <w:r w:rsidR="00F5740D">
        <w:t xml:space="preserve"> uiteindelijk </w:t>
      </w:r>
      <w:r>
        <w:t>bepalen welke</w:t>
      </w:r>
      <w:r w:rsidR="00F5740D">
        <w:t xml:space="preserve"> clubs</w:t>
      </w:r>
      <w:r w:rsidR="00881773">
        <w:t xml:space="preserve"> de begeerde 13 punten </w:t>
      </w:r>
      <w:r>
        <w:t>zal weten t</w:t>
      </w:r>
      <w:r w:rsidR="00881773">
        <w:t>e behalen</w:t>
      </w:r>
      <w:r w:rsidR="00585593">
        <w:t xml:space="preserve"> </w:t>
      </w:r>
      <w:r>
        <w:t>om zich</w:t>
      </w:r>
      <w:r w:rsidR="00585593">
        <w:t xml:space="preserve"> zo te </w:t>
      </w:r>
      <w:r w:rsidR="00B90005">
        <w:t xml:space="preserve"> kunnen </w:t>
      </w:r>
      <w:r w:rsidR="00585593">
        <w:t xml:space="preserve">plaatsen voor de </w:t>
      </w:r>
      <w:proofErr w:type="spellStart"/>
      <w:r w:rsidR="00585593">
        <w:t>BIB.Voor</w:t>
      </w:r>
      <w:proofErr w:type="spellEnd"/>
      <w:r w:rsidR="00585593">
        <w:t xml:space="preserve"> Vlaanderen </w:t>
      </w:r>
      <w:r>
        <w:t xml:space="preserve">zullen er </w:t>
      </w:r>
      <w:r w:rsidR="00585593">
        <w:t xml:space="preserve">8 Heren/Gemengd en 8 Dames ploegen </w:t>
      </w:r>
      <w:r>
        <w:t>mogen deelnemen</w:t>
      </w:r>
      <w:r w:rsidR="00585593">
        <w:t xml:space="preserve"> aan de </w:t>
      </w:r>
      <w:proofErr w:type="spellStart"/>
      <w:r w:rsidR="00585593">
        <w:t>BIB.Bij</w:t>
      </w:r>
      <w:proofErr w:type="spellEnd"/>
      <w:r w:rsidR="00585593">
        <w:t xml:space="preserve"> de veteranen worden er 4 Heren/Gemengd en 4 Dames ploegen toegelaten voor deelname aan de BIB voor </w:t>
      </w:r>
      <w:proofErr w:type="spellStart"/>
      <w:r w:rsidR="00585593">
        <w:t>veteranen.</w:t>
      </w:r>
      <w:r w:rsidR="004E67E8">
        <w:t>Eens</w:t>
      </w:r>
      <w:proofErr w:type="spellEnd"/>
      <w:r w:rsidR="004E67E8">
        <w:t xml:space="preserve"> de PIB ‘s achter de rug zijn</w:t>
      </w:r>
      <w:r w:rsidR="00AC0D28">
        <w:t>,</w:t>
      </w:r>
      <w:r w:rsidR="004E67E8">
        <w:t xml:space="preserve">kan het zomerseizoen met </w:t>
      </w:r>
      <w:bookmarkStart w:id="0" w:name="_GoBack"/>
      <w:bookmarkEnd w:id="0"/>
      <w:r w:rsidR="004E67E8">
        <w:t>de kampioenschappen en de tornooien volledig in actie</w:t>
      </w:r>
      <w:r w:rsidR="00585593">
        <w:t xml:space="preserve"> </w:t>
      </w:r>
      <w:proofErr w:type="spellStart"/>
      <w:r w:rsidR="004E67E8">
        <w:t>treden.Hopelijk</w:t>
      </w:r>
      <w:proofErr w:type="spellEnd"/>
      <w:r w:rsidR="004E67E8">
        <w:t xml:space="preserve"> wordt het ook echt zomerweer</w:t>
      </w:r>
      <w:r>
        <w:t xml:space="preserve"> in 2016</w:t>
      </w:r>
      <w:r w:rsidR="004E67E8">
        <w:t xml:space="preserve"> zodat we met zijn allen sportief kunnen genieten van alles wat de zomerkalender ons te bieden heeft.</w:t>
      </w:r>
    </w:p>
    <w:p w:rsidR="004E67E8" w:rsidRDefault="004E67E8" w:rsidP="005A166D">
      <w:pPr>
        <w:ind w:left="-142" w:right="-709"/>
      </w:pPr>
    </w:p>
    <w:p w:rsidR="004E67E8" w:rsidRDefault="00384727" w:rsidP="004E67E8">
      <w:pPr>
        <w:ind w:left="-142" w:righ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4E67E8" w:rsidRPr="004E67E8">
        <w:rPr>
          <w:b/>
          <w:sz w:val="36"/>
          <w:szCs w:val="36"/>
        </w:rPr>
        <w:t>Maak er</w:t>
      </w:r>
      <w:r w:rsidR="00F5740D">
        <w:rPr>
          <w:b/>
          <w:sz w:val="36"/>
          <w:szCs w:val="36"/>
        </w:rPr>
        <w:t xml:space="preserve"> vooral</w:t>
      </w:r>
      <w:r w:rsidR="004E67E8" w:rsidRPr="004E67E8">
        <w:rPr>
          <w:b/>
          <w:sz w:val="36"/>
          <w:szCs w:val="36"/>
        </w:rPr>
        <w:t xml:space="preserve"> een sportieve zomer 2016 van</w:t>
      </w:r>
      <w:r>
        <w:rPr>
          <w:b/>
          <w:sz w:val="36"/>
          <w:szCs w:val="36"/>
        </w:rPr>
        <w:t>”</w:t>
      </w:r>
    </w:p>
    <w:p w:rsidR="004E67E8" w:rsidRDefault="004E67E8" w:rsidP="004E67E8">
      <w:pPr>
        <w:ind w:left="-142" w:right="-709"/>
        <w:jc w:val="center"/>
        <w:rPr>
          <w:b/>
          <w:sz w:val="24"/>
          <w:szCs w:val="24"/>
        </w:rPr>
      </w:pPr>
    </w:p>
    <w:p w:rsidR="006D1546" w:rsidRDefault="006D1546" w:rsidP="004E67E8">
      <w:pPr>
        <w:ind w:left="-142" w:right="-709"/>
        <w:jc w:val="center"/>
        <w:rPr>
          <w:b/>
          <w:sz w:val="24"/>
          <w:szCs w:val="24"/>
        </w:rPr>
      </w:pPr>
    </w:p>
    <w:p w:rsidR="006D1546" w:rsidRPr="006D1546" w:rsidRDefault="006D1546" w:rsidP="006D1546">
      <w:pPr>
        <w:ind w:left="-142" w:right="-709"/>
        <w:rPr>
          <w:sz w:val="24"/>
          <w:szCs w:val="24"/>
        </w:rPr>
      </w:pPr>
      <w:r w:rsidRPr="006D1546">
        <w:rPr>
          <w:sz w:val="24"/>
          <w:szCs w:val="24"/>
        </w:rPr>
        <w:t>Herman Croymans</w:t>
      </w:r>
    </w:p>
    <w:p w:rsidR="006D1546" w:rsidRDefault="006D1546" w:rsidP="004E67E8">
      <w:pPr>
        <w:ind w:left="-142" w:right="-709"/>
        <w:jc w:val="center"/>
        <w:rPr>
          <w:b/>
          <w:sz w:val="24"/>
          <w:szCs w:val="24"/>
        </w:rPr>
      </w:pPr>
    </w:p>
    <w:p w:rsidR="004E67E8" w:rsidRPr="004E67E8" w:rsidRDefault="004E67E8" w:rsidP="004E67E8">
      <w:pPr>
        <w:ind w:left="-142" w:right="-709"/>
        <w:jc w:val="center"/>
        <w:rPr>
          <w:b/>
          <w:sz w:val="24"/>
          <w:szCs w:val="24"/>
        </w:rPr>
      </w:pPr>
    </w:p>
    <w:p w:rsidR="004E67E8" w:rsidRPr="004E67E8" w:rsidRDefault="004E67E8" w:rsidP="004E67E8">
      <w:pPr>
        <w:ind w:left="-142" w:right="-709"/>
        <w:jc w:val="center"/>
        <w:rPr>
          <w:b/>
          <w:sz w:val="36"/>
          <w:szCs w:val="36"/>
        </w:rPr>
      </w:pPr>
    </w:p>
    <w:p w:rsidR="00585593" w:rsidRPr="005A166D" w:rsidRDefault="00585593" w:rsidP="005A166D">
      <w:pPr>
        <w:ind w:left="-142" w:right="-709"/>
      </w:pPr>
    </w:p>
    <w:sectPr w:rsidR="00585593" w:rsidRPr="005A166D" w:rsidSect="004E67E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F3"/>
    <w:rsid w:val="00184821"/>
    <w:rsid w:val="002353A5"/>
    <w:rsid w:val="0029415E"/>
    <w:rsid w:val="002C7699"/>
    <w:rsid w:val="002D2C55"/>
    <w:rsid w:val="00384727"/>
    <w:rsid w:val="0044520C"/>
    <w:rsid w:val="004E67E8"/>
    <w:rsid w:val="00585593"/>
    <w:rsid w:val="005A166D"/>
    <w:rsid w:val="006D1546"/>
    <w:rsid w:val="007714A3"/>
    <w:rsid w:val="00881773"/>
    <w:rsid w:val="00890482"/>
    <w:rsid w:val="0098169E"/>
    <w:rsid w:val="009B34F3"/>
    <w:rsid w:val="00A80F77"/>
    <w:rsid w:val="00AC0D28"/>
    <w:rsid w:val="00B34AC0"/>
    <w:rsid w:val="00B90005"/>
    <w:rsid w:val="00C53651"/>
    <w:rsid w:val="00C651A1"/>
    <w:rsid w:val="00CC0909"/>
    <w:rsid w:val="00E336E4"/>
    <w:rsid w:val="00F23341"/>
    <w:rsid w:val="00F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761AE-B951-4439-9744-FEFBCF9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1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62F6-412D-4E37-957C-3BE7CAAA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36</cp:revision>
  <dcterms:created xsi:type="dcterms:W3CDTF">2016-02-10T07:03:00Z</dcterms:created>
  <dcterms:modified xsi:type="dcterms:W3CDTF">2016-05-05T17:56:00Z</dcterms:modified>
</cp:coreProperties>
</file>